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ED145D" w:rsidRDefault="004333BB" w:rsidP="00ED145D">
      <w:pPr>
        <w:pStyle w:val="Heading2"/>
        <w:ind w:left="7080"/>
        <w:rPr>
          <w:sz w:val="24"/>
          <w:szCs w:val="24"/>
        </w:rPr>
      </w:pPr>
      <w:r w:rsidRPr="00756DC6">
        <w:t>Załącznik II.1</w:t>
      </w:r>
    </w:p>
    <w:p w:rsidR="004333BB" w:rsidRPr="00756DC6" w:rsidRDefault="004333BB">
      <w:pPr>
        <w:pStyle w:val="Heading2"/>
        <w:rPr>
          <w:color w:val="FF0000"/>
          <w:sz w:val="24"/>
          <w:szCs w:val="24"/>
        </w:rPr>
      </w:pPr>
      <w:r w:rsidRPr="00756DC6">
        <w:rPr>
          <w:sz w:val="24"/>
          <w:szCs w:val="24"/>
        </w:rPr>
        <w:t>1.3. Karta modułu/przedmiotu</w:t>
      </w:r>
      <w:r w:rsidRPr="00756DC6">
        <w:rPr>
          <w:sz w:val="24"/>
          <w:szCs w:val="24"/>
        </w:rPr>
        <w:tab/>
      </w:r>
      <w:r w:rsidRPr="00756DC6">
        <w:rPr>
          <w:sz w:val="24"/>
          <w:szCs w:val="24"/>
        </w:rPr>
        <w:tab/>
      </w:r>
      <w:r w:rsidRPr="00756DC6">
        <w:rPr>
          <w:sz w:val="24"/>
          <w:szCs w:val="24"/>
        </w:rPr>
        <w:tab/>
      </w:r>
      <w:r w:rsidRPr="00756DC6">
        <w:rPr>
          <w:sz w:val="24"/>
          <w:szCs w:val="24"/>
        </w:rPr>
        <w:tab/>
      </w:r>
      <w:r w:rsidRPr="00756DC6">
        <w:rPr>
          <w:sz w:val="24"/>
          <w:szCs w:val="24"/>
        </w:rPr>
        <w:tab/>
      </w:r>
      <w:r w:rsidRPr="00756DC6">
        <w:rPr>
          <w:sz w:val="24"/>
          <w:szCs w:val="24"/>
        </w:rPr>
        <w:tab/>
      </w:r>
      <w:r w:rsidRPr="00756DC6">
        <w:rPr>
          <w:sz w:val="24"/>
          <w:szCs w:val="24"/>
        </w:rPr>
        <w:tab/>
      </w:r>
    </w:p>
    <w:p w:rsidR="004333BB" w:rsidRPr="00756DC6" w:rsidRDefault="004333BB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4333BB" w:rsidRPr="00756DC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4333BB" w:rsidRPr="00756DC6" w:rsidRDefault="004333BB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33BB" w:rsidRPr="00756DC6" w:rsidRDefault="004333BB" w:rsidP="004440DD">
            <w:pPr>
              <w:pStyle w:val="ListParagraph"/>
              <w:spacing w:after="200" w:line="276" w:lineRule="auto"/>
              <w:ind w:left="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Konwencja kryminału we współczesnej prozie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333BB" w:rsidRPr="00756DC6" w:rsidRDefault="004333BB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Konwencja kryminału we współczesnej prozie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 – nauczycielska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/ filologiczna obsługa biznesu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(profil dowolny)</w:t>
            </w:r>
          </w:p>
        </w:tc>
        <w:tc>
          <w:tcPr>
            <w:tcW w:w="3171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756DC6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4333BB" w:rsidRPr="00756DC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333BB" w:rsidRPr="00756DC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dr Mariusz Kraska</w:t>
            </w:r>
          </w:p>
        </w:tc>
      </w:tr>
      <w:tr w:rsidR="004333BB" w:rsidRPr="00756DC6">
        <w:tc>
          <w:tcPr>
            <w:tcW w:w="298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dr Mariusz Kraska</w:t>
            </w:r>
          </w:p>
        </w:tc>
      </w:tr>
      <w:tr w:rsidR="004333BB" w:rsidRPr="00756DC6">
        <w:tc>
          <w:tcPr>
            <w:tcW w:w="298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333BB" w:rsidRDefault="004333BB" w:rsidP="00F10C25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4333BB" w:rsidP="00F10C25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Celem zajęć jest zapoznanie studentów z poetyką i historią powieści kryminalnej i prezentacja współcześnie występujących odmian kryminału; analiza utworów z kultury wysokiej wykorzystujących gatunkową konwencję kryminału.</w:t>
            </w:r>
          </w:p>
        </w:tc>
      </w:tr>
      <w:tr w:rsidR="004333BB" w:rsidRPr="00756DC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333BB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Umiejętności analizy i interpretacji tekstu literackiego nabyte podczas zajęć z poetyki, teorii literatury i analizy tekstów kultury</w:t>
            </w: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p w:rsidR="004333BB" w:rsidRDefault="004333BB">
      <w:pPr>
        <w:rPr>
          <w:rFonts w:ascii="Cambria" w:hAnsi="Cambria" w:cs="Cambria"/>
          <w:sz w:val="24"/>
          <w:szCs w:val="24"/>
        </w:rPr>
      </w:pPr>
    </w:p>
    <w:p w:rsidR="004333BB" w:rsidRDefault="004333BB">
      <w:pPr>
        <w:rPr>
          <w:rFonts w:ascii="Cambria" w:hAnsi="Cambria" w:cs="Cambria"/>
          <w:sz w:val="24"/>
          <w:szCs w:val="24"/>
        </w:rPr>
      </w:pPr>
    </w:p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4333BB" w:rsidRPr="00756DC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4333BB" w:rsidRPr="00756DC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4333BB" w:rsidP="00F10C25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zna wyznaczniki gatunkowe powieści historycznej i historię ich ewolucji, rozumie i charakteryzuje różnice między poszczególnymi odmianami powieści kryminalnej; opisuje cele i sposoby aplikacji tej konwencji gatunkowej w literaturze wysokiej.</w:t>
            </w:r>
          </w:p>
        </w:tc>
        <w:tc>
          <w:tcPr>
            <w:tcW w:w="1400" w:type="dxa"/>
            <w:vAlign w:val="center"/>
          </w:tcPr>
          <w:p w:rsidR="004333BB" w:rsidRPr="00756DC6" w:rsidRDefault="004333BB" w:rsidP="00F10C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K_W06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4333BB" w:rsidP="002E716A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jest świadomy istnienia różnych metod analizy powieści kryminalnej, zna kryteria pozwalające dokonać samodzielnej oceny różnych realizacji tej konwencji gatunkowej.</w:t>
            </w:r>
          </w:p>
        </w:tc>
        <w:tc>
          <w:tcPr>
            <w:tcW w:w="1400" w:type="dxa"/>
            <w:vAlign w:val="center"/>
          </w:tcPr>
          <w:p w:rsidR="004333BB" w:rsidRPr="00756DC6" w:rsidRDefault="004333BB" w:rsidP="00F10C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K_W07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4333BB" w:rsidP="002E716A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samodzielnie potrafi wyjaśnić i zanalizować, na czym polega specyfika powieści kryminalnej jako gatunku oraz określić potencjalne przyczyny jego popularności (także jako formy wykorzystywanej w literaturze wysokiej).</w:t>
            </w:r>
          </w:p>
        </w:tc>
        <w:tc>
          <w:tcPr>
            <w:tcW w:w="1400" w:type="dxa"/>
            <w:vAlign w:val="center"/>
          </w:tcPr>
          <w:p w:rsidR="004333BB" w:rsidRPr="00756DC6" w:rsidRDefault="004333BB" w:rsidP="00F3756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K_U04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4333BB" w:rsidP="002E716A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potrafi zdefiniować najważniejsze i użyć w odpowiedni sposób najważniejsze pojęcia i terminy z zakresu poetyki i teorii powieści kryminalnej.</w:t>
            </w:r>
          </w:p>
        </w:tc>
        <w:tc>
          <w:tcPr>
            <w:tcW w:w="1400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K_U05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4333BB" w:rsidP="002E716A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posiada praktyczną umiejętność analizy tekstów literackich przy zastosowaniu jako dominanty interpretacyjnej wiedzy dotyczącej konwencji gatunkowej kryminału.</w:t>
            </w:r>
          </w:p>
        </w:tc>
        <w:tc>
          <w:tcPr>
            <w:tcW w:w="1400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K_U07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4333BB" w:rsidP="002E716A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umie zachować krytycyzm względem własnego stanowiska i interpretacji innych autorów, mając świadomość istnienia wielu, często niekomplementarnych ujęć badawczych z zakresu wiedzy o powieści kryminalnej.</w:t>
            </w:r>
          </w:p>
        </w:tc>
        <w:tc>
          <w:tcPr>
            <w:tcW w:w="1400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K_U08</w:t>
            </w:r>
          </w:p>
        </w:tc>
      </w:tr>
      <w:tr w:rsidR="004333BB" w:rsidRPr="00756DC6">
        <w:trPr>
          <w:cantSplit/>
        </w:trPr>
        <w:tc>
          <w:tcPr>
            <w:tcW w:w="908" w:type="dxa"/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right w:val="nil"/>
            </w:tcBorders>
          </w:tcPr>
          <w:p w:rsidR="004333BB" w:rsidRPr="00756DC6" w:rsidRDefault="004333BB" w:rsidP="00DD2CE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samodzielnie potrafi napisać tekst będący analizą dowolnego tekstu kultury, posługując się przy tym stosowną metodologią i instrumentarium bibliograficznym.</w:t>
            </w:r>
          </w:p>
        </w:tc>
        <w:tc>
          <w:tcPr>
            <w:tcW w:w="1400" w:type="dxa"/>
            <w:vAlign w:val="center"/>
          </w:tcPr>
          <w:p w:rsidR="004333BB" w:rsidRPr="00756DC6" w:rsidRDefault="004333BB" w:rsidP="00DD2CE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K_U11</w:t>
            </w:r>
          </w:p>
        </w:tc>
      </w:tr>
      <w:tr w:rsidR="004333BB" w:rsidRPr="00756DC6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:rsidR="004333BB" w:rsidRPr="00756DC6" w:rsidRDefault="004333BB" w:rsidP="00DD2CE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potrafi weryfikować i przeformułowywać swoje stanowiska i sądy.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4333BB" w:rsidRPr="00756DC6" w:rsidRDefault="004333BB" w:rsidP="00DD2CE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K_K04</w:t>
            </w:r>
          </w:p>
        </w:tc>
      </w:tr>
      <w:tr w:rsidR="004333BB" w:rsidRPr="00756DC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4333BB" w:rsidRPr="00756DC6" w:rsidRDefault="004333BB" w:rsidP="003D4309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Student samodzielnie potrafi wybrać analizowany przez siebie problem, określić skalę i sposób przygotowania do realizacji podjętego zadania.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K_K05</w:t>
            </w: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333BB" w:rsidRPr="00756DC6">
        <w:tc>
          <w:tcPr>
            <w:tcW w:w="10008" w:type="dxa"/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4333BB" w:rsidRPr="00756DC6">
        <w:tc>
          <w:tcPr>
            <w:tcW w:w="10008" w:type="dxa"/>
            <w:shd w:val="pct15" w:color="auto" w:fill="FFFFFF"/>
          </w:tcPr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4333BB" w:rsidRPr="00756DC6">
        <w:tc>
          <w:tcPr>
            <w:tcW w:w="10008" w:type="dxa"/>
          </w:tcPr>
          <w:p w:rsidR="004333BB" w:rsidRPr="00756DC6" w:rsidRDefault="004333B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4333BB" w:rsidRPr="00756DC6" w:rsidRDefault="004333B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c>
          <w:tcPr>
            <w:tcW w:w="10008" w:type="dxa"/>
            <w:shd w:val="pct15" w:color="auto" w:fill="FFFFFF"/>
          </w:tcPr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4333BB" w:rsidRPr="00756DC6">
        <w:tc>
          <w:tcPr>
            <w:tcW w:w="10008" w:type="dxa"/>
          </w:tcPr>
          <w:p w:rsidR="004333BB" w:rsidRPr="00E56601" w:rsidRDefault="004333BB" w:rsidP="00B03E34">
            <w:pPr>
              <w:pStyle w:val="HTMLPreformatted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Narodziny powieści kryminalnej;</w:t>
            </w:r>
          </w:p>
          <w:p w:rsidR="004333BB" w:rsidRPr="00E56601" w:rsidRDefault="004333BB" w:rsidP="00B03E34">
            <w:pPr>
              <w:pStyle w:val="HTMLPreformatted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Wyznaczniki gatunkowe kryminału (konstrukcja fabuły, typ bohatera, gra fikcją, czasoprzestrzeń);</w:t>
            </w:r>
          </w:p>
          <w:p w:rsidR="004333BB" w:rsidRPr="00E56601" w:rsidRDefault="004333BB" w:rsidP="00B03E34">
            <w:pPr>
              <w:pStyle w:val="HTMLPreformatted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Powieść kryminalne i związane z poetyką gatunku style odbioru;</w:t>
            </w:r>
          </w:p>
          <w:p w:rsidR="004333BB" w:rsidRPr="00E56601" w:rsidRDefault="004333BB" w:rsidP="00B03E34">
            <w:pPr>
              <w:pStyle w:val="HTMLPreformatted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 xml:space="preserve">Odmiany powieści kryminalnej: powieść detektywistyczna, czarny kryminał, </w:t>
            </w:r>
            <w:r w:rsidRPr="00E56601">
              <w:rPr>
                <w:rFonts w:ascii="Cambria" w:hAnsi="Cambria" w:cs="Cambria"/>
                <w:i/>
                <w:iCs/>
                <w:sz w:val="24"/>
                <w:szCs w:val="24"/>
              </w:rPr>
              <w:t>police procedural</w:t>
            </w:r>
            <w:r w:rsidRPr="00E56601">
              <w:rPr>
                <w:rFonts w:ascii="Cambria" w:hAnsi="Cambria" w:cs="Cambria"/>
                <w:sz w:val="24"/>
                <w:szCs w:val="24"/>
              </w:rPr>
              <w:t>;</w:t>
            </w:r>
          </w:p>
          <w:p w:rsidR="004333BB" w:rsidRPr="00E56601" w:rsidRDefault="004333BB" w:rsidP="00B03E34">
            <w:pPr>
              <w:pStyle w:val="HTMLPreformatted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Powieść kryminalna a thriller: podobieństwa i różnice;</w:t>
            </w:r>
          </w:p>
          <w:p w:rsidR="004333BB" w:rsidRPr="00E56601" w:rsidRDefault="004333BB" w:rsidP="00B03E34">
            <w:pPr>
              <w:pStyle w:val="HTMLPreformatted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Powieść kryminalna i jej współczesne realizacje: np. kryminał społeczny, feministyczny, kryminał historyczny, etc.;</w:t>
            </w:r>
          </w:p>
          <w:p w:rsidR="004333BB" w:rsidRPr="00E56601" w:rsidRDefault="004333BB" w:rsidP="00B03E34">
            <w:pPr>
              <w:pStyle w:val="HTMLPreformatted"/>
              <w:rPr>
                <w:rFonts w:ascii="Cambria" w:hAnsi="Cambria" w:cs="Cambria"/>
                <w:sz w:val="24"/>
                <w:szCs w:val="24"/>
              </w:rPr>
            </w:pPr>
            <w:r w:rsidRPr="00E56601">
              <w:rPr>
                <w:rFonts w:ascii="Cambria" w:hAnsi="Cambria" w:cs="Cambria"/>
                <w:sz w:val="24"/>
                <w:szCs w:val="24"/>
              </w:rPr>
              <w:t>Kryminał i ideologia;</w:t>
            </w:r>
          </w:p>
          <w:p w:rsidR="004333BB" w:rsidRPr="00756DC6" w:rsidRDefault="004333BB" w:rsidP="00B03E34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Konwencja kryminału w literaturze wysokiej: od modernizmu do postmodernizmu;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c>
          <w:tcPr>
            <w:tcW w:w="10008" w:type="dxa"/>
            <w:shd w:val="pct15" w:color="auto" w:fill="FFFFFF"/>
          </w:tcPr>
          <w:p w:rsidR="004333BB" w:rsidRPr="00756DC6" w:rsidRDefault="004333BB">
            <w:pPr>
              <w:pStyle w:val="Heading1"/>
              <w:rPr>
                <w:rFonts w:ascii="Cambria" w:hAnsi="Cambria" w:cs="Cambria"/>
              </w:rPr>
            </w:pPr>
            <w:r w:rsidRPr="00756DC6">
              <w:rPr>
                <w:rFonts w:ascii="Cambria" w:hAnsi="Cambria" w:cs="Cambria"/>
              </w:rPr>
              <w:t>Laboratorium</w:t>
            </w:r>
          </w:p>
        </w:tc>
      </w:tr>
      <w:tr w:rsidR="004333BB" w:rsidRPr="00756DC6">
        <w:tc>
          <w:tcPr>
            <w:tcW w:w="10008" w:type="dxa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c>
          <w:tcPr>
            <w:tcW w:w="10008" w:type="dxa"/>
            <w:shd w:val="pct15" w:color="auto" w:fill="FFFFFF"/>
          </w:tcPr>
          <w:p w:rsidR="004333BB" w:rsidRPr="00756DC6" w:rsidRDefault="004333BB">
            <w:pPr>
              <w:pStyle w:val="Heading1"/>
              <w:rPr>
                <w:rFonts w:ascii="Cambria" w:hAnsi="Cambria" w:cs="Cambria"/>
              </w:rPr>
            </w:pPr>
            <w:r w:rsidRPr="00756DC6">
              <w:rPr>
                <w:rFonts w:ascii="Cambria" w:hAnsi="Cambria" w:cs="Cambria"/>
              </w:rPr>
              <w:t>Projekt</w:t>
            </w:r>
          </w:p>
        </w:tc>
      </w:tr>
      <w:tr w:rsidR="004333BB" w:rsidRPr="00756DC6">
        <w:tc>
          <w:tcPr>
            <w:tcW w:w="10008" w:type="dxa"/>
            <w:tcBorders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8"/>
        <w:gridCol w:w="40"/>
        <w:gridCol w:w="2275"/>
        <w:gridCol w:w="3485"/>
        <w:gridCol w:w="1800"/>
      </w:tblGrid>
      <w:tr w:rsidR="004333BB" w:rsidRPr="00756DC6">
        <w:trPr>
          <w:trHeight w:val="1944"/>
        </w:trPr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</w:tcBorders>
          </w:tcPr>
          <w:p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R. Caillos,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Powieść kryminalna</w:t>
            </w:r>
            <w:r w:rsidRPr="002C5D43">
              <w:rPr>
                <w:rFonts w:ascii="Cambria" w:hAnsi="Cambria" w:cs="Cambria"/>
                <w:sz w:val="22"/>
                <w:szCs w:val="22"/>
              </w:rPr>
              <w:t xml:space="preserve">, [w:] idem,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Odpowiedzialność i styl</w:t>
            </w:r>
            <w:r w:rsidRPr="002C5D43">
              <w:rPr>
                <w:rFonts w:ascii="Cambria" w:hAnsi="Cambria" w:cs="Cambria"/>
                <w:sz w:val="22"/>
                <w:szCs w:val="22"/>
              </w:rPr>
              <w:t>, Warszawa 1967</w:t>
            </w:r>
          </w:p>
          <w:p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.M. Czubaj,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Etnolog w Mieście Grzechu. Powieść kryminalna jako świadectwo antropologiczne</w:t>
            </w:r>
            <w:r w:rsidRPr="002C5D43">
              <w:rPr>
                <w:rFonts w:ascii="Cambria" w:hAnsi="Cambria" w:cs="Cambria"/>
                <w:sz w:val="22"/>
                <w:szCs w:val="22"/>
              </w:rPr>
              <w:t>, Gdańsk 2010.</w:t>
            </w:r>
          </w:p>
          <w:p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Słownik literatury popularnej</w:t>
            </w:r>
            <w:r w:rsidRPr="002C5D43">
              <w:rPr>
                <w:rFonts w:ascii="Cambria" w:hAnsi="Cambria" w:cs="Cambria"/>
                <w:sz w:val="22"/>
                <w:szCs w:val="22"/>
              </w:rPr>
              <w:t>, pod red. T. Żabskiego, Wrocław 1997 [wybrane hasła].</w:t>
            </w:r>
          </w:p>
          <w:p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S. Lasić,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Poetyka powieści kryminalnej. Próba analizy strukturalnej</w:t>
            </w:r>
            <w:r w:rsidRPr="002C5D43">
              <w:rPr>
                <w:rFonts w:ascii="Cambria" w:hAnsi="Cambria" w:cs="Cambria"/>
                <w:sz w:val="22"/>
                <w:szCs w:val="22"/>
              </w:rPr>
              <w:t>, Warszawa 1976.</w:t>
            </w:r>
          </w:p>
          <w:p w:rsidR="004333BB" w:rsidRPr="002C5D43" w:rsidRDefault="004333BB" w:rsidP="006A764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>E. Mrowczyk-Hearfield, Badania literatury kryminalnej – propozycja, „Teksty” 1998, nr 6</w:t>
            </w:r>
          </w:p>
          <w:p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S. Żiżek,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Logika powieści detektywistycznej</w:t>
            </w:r>
            <w:r w:rsidRPr="002C5D43">
              <w:rPr>
                <w:rFonts w:ascii="Cambria" w:hAnsi="Cambria" w:cs="Cambria"/>
                <w:sz w:val="22"/>
                <w:szCs w:val="22"/>
              </w:rPr>
              <w:t>, „Pamiętnik Literacki” 1990, z. 3.</w:t>
            </w:r>
          </w:p>
          <w:p w:rsidR="004333BB" w:rsidRPr="00756DC6" w:rsidRDefault="004333BB" w:rsidP="006A764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c>
          <w:tcPr>
            <w:tcW w:w="2448" w:type="dxa"/>
            <w:gridSpan w:val="2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</w:tcPr>
          <w:p w:rsidR="004333BB" w:rsidRPr="00756DC6" w:rsidRDefault="004333BB" w:rsidP="006A7644">
            <w:pPr>
              <w:suppressAutoHyphens/>
              <w:rPr>
                <w:rFonts w:ascii="Cambria" w:hAnsi="Cambria" w:cs="Cambria"/>
                <w:lang w:eastAsia="ar-SA"/>
              </w:rPr>
            </w:pPr>
          </w:p>
          <w:p w:rsidR="004333BB" w:rsidRPr="002C5D43" w:rsidRDefault="004333BB" w:rsidP="006A7644">
            <w:pPr>
              <w:suppressAutoHyphens/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S. Barańczak,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Poetyka powieści kryminalnej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, „Teksty” 1973, nr 6.</w:t>
            </w:r>
          </w:p>
          <w:p w:rsidR="004333BB" w:rsidRPr="002C5D43" w:rsidRDefault="004333BB" w:rsidP="006A7644">
            <w:pPr>
              <w:suppressAutoHyphens/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S. Barańczak,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Polska powieść milicyjna. Dominacja funkcji perswazyjnej a problemy, 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[w:]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W kręgu literatury polski ludowej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, red. M. Stępień, Kraków 1975.</w:t>
            </w:r>
          </w:p>
          <w:p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W. Burszta, M. Czubaj,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Krawawa setka. 100 najważniejszych powieści kryminalnych,</w:t>
            </w:r>
            <w:r w:rsidRPr="002C5D43">
              <w:rPr>
                <w:rFonts w:ascii="Cambria" w:hAnsi="Cambria" w:cs="Cambria"/>
                <w:sz w:val="22"/>
                <w:szCs w:val="22"/>
              </w:rPr>
              <w:t xml:space="preserve"> Warszawa 2007.</w:t>
            </w:r>
          </w:p>
          <w:p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B. Darska,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Śledztwo i płeć. O bohaterkach powieści kryminalnych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, Olsztyn 2011.</w:t>
            </w:r>
          </w:p>
          <w:p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</w:rPr>
              <w:t xml:space="preserve">J. Dąbała,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</w:rPr>
              <w:t>Tajemnica i suspens. Wokół głównych problemów creative writing</w:t>
            </w:r>
            <w:r w:rsidRPr="002C5D43">
              <w:rPr>
                <w:rFonts w:ascii="Cambria" w:hAnsi="Cambria" w:cs="Cambria"/>
                <w:sz w:val="22"/>
                <w:szCs w:val="22"/>
              </w:rPr>
              <w:t>, Lublin 2004.</w:t>
            </w:r>
          </w:p>
          <w:p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H. Heissenbüttel,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Reguły gry powieści kryminalnej. 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„Teksty” 1973 nr 6.</w:t>
            </w:r>
          </w:p>
          <w:p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M. Kraska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, Zbrodnia doskonała. Rzecz o popularności powieści kryminalnej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,[W:]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Mody w literaurze i kulturze popularnej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, pod red. S. Buryły i in., Kraków 2011.</w:t>
            </w:r>
          </w:p>
          <w:p w:rsidR="004333BB" w:rsidRPr="002C5D43" w:rsidRDefault="004333BB" w:rsidP="006A7644">
            <w:pPr>
              <w:suppressAutoHyphens/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A. Martuszewska,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Niektóre właściwości struktury polskiej współczesnej powieści kryminalnej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, [w:]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Formy literatury popularnej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, red. A. Okopień-Sławińska Warszawa 1973.</w:t>
            </w:r>
          </w:p>
          <w:p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 xml:space="preserve">J. Siewierski, </w:t>
            </w:r>
            <w:r w:rsidRPr="002C5D4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Powieść kryminalna</w:t>
            </w: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, Warszawa 1979.</w:t>
            </w:r>
          </w:p>
          <w:p w:rsidR="004333BB" w:rsidRPr="002C5D43" w:rsidRDefault="004333BB" w:rsidP="006A7644">
            <w:pPr>
              <w:rPr>
                <w:rFonts w:ascii="Cambria" w:hAnsi="Cambria" w:cs="Cambria"/>
                <w:sz w:val="22"/>
                <w:szCs w:val="22"/>
                <w:lang w:eastAsia="ar-SA"/>
              </w:rPr>
            </w:pPr>
            <w:r w:rsidRPr="002C5D43">
              <w:rPr>
                <w:rFonts w:ascii="Cambria" w:hAnsi="Cambria" w:cs="Cambria"/>
                <w:sz w:val="22"/>
                <w:szCs w:val="22"/>
                <w:lang w:eastAsia="ar-SA"/>
              </w:rPr>
              <w:t>Uwaga: prowadzący zastrzega sobie możliwość proponowania lektur spoza podanej listy jako kontekstu do analizy i interpretacji wybranego zagadnienia lub zjawiska literackiego.</w:t>
            </w:r>
          </w:p>
          <w:p w:rsidR="004333BB" w:rsidRPr="00756DC6" w:rsidRDefault="004333BB" w:rsidP="006A764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333BB" w:rsidRPr="00756DC6" w:rsidRDefault="004333BB" w:rsidP="00CA6551">
            <w:pPr>
              <w:rPr>
                <w:rFonts w:ascii="Cambria" w:hAnsi="Cambria" w:cs="Cambria"/>
              </w:rPr>
            </w:pPr>
          </w:p>
          <w:p w:rsidR="004333BB" w:rsidRPr="00756DC6" w:rsidRDefault="004333BB" w:rsidP="00CA6551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 xml:space="preserve">ćwiczenia audytoryjne: analiza tekstów z dyskusją / analiza zdarzeń krytycznych (przypadków) </w:t>
            </w:r>
          </w:p>
          <w:p w:rsidR="004333BB" w:rsidRPr="00756DC6" w:rsidRDefault="004333BB" w:rsidP="00CA6551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756DC6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756DC6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Pisemna praca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 xml:space="preserve">01  02  03  04  05  06  07  09 </w:t>
            </w: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Wypowiedzi ustne podczas zajęć</w:t>
            </w: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01  02  03  04   05  06  07  08  09</w:t>
            </w: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333BB" w:rsidRPr="00756D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Pisemna forma zaliczenia – 80%</w:t>
            </w: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>Aktywna postawa na zajęciach – 20%</w:t>
            </w: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  <w:r w:rsidRPr="00756DC6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  <w:p w:rsidR="004333BB" w:rsidRPr="00756DC6" w:rsidRDefault="004333B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333BB" w:rsidRPr="00756DC6">
        <w:tc>
          <w:tcPr>
            <w:tcW w:w="10008" w:type="dxa"/>
            <w:gridSpan w:val="5"/>
            <w:tcBorders>
              <w:top w:val="single" w:sz="12" w:space="0" w:color="auto"/>
            </w:tcBorders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4333BB" w:rsidRPr="00756DC6">
        <w:trPr>
          <w:trHeight w:val="263"/>
        </w:trPr>
        <w:tc>
          <w:tcPr>
            <w:tcW w:w="472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2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4333BB" w:rsidRPr="00756DC6">
        <w:trPr>
          <w:trHeight w:val="262"/>
        </w:trPr>
        <w:tc>
          <w:tcPr>
            <w:tcW w:w="472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rPr>
          <w:trHeight w:val="262"/>
        </w:trPr>
        <w:tc>
          <w:tcPr>
            <w:tcW w:w="472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4333BB" w:rsidRPr="00756DC6" w:rsidRDefault="004333BB" w:rsidP="002E716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rPr>
          <w:trHeight w:val="262"/>
        </w:trPr>
        <w:tc>
          <w:tcPr>
            <w:tcW w:w="472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756DC6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4333BB" w:rsidRPr="00756DC6">
        <w:trPr>
          <w:trHeight w:val="262"/>
        </w:trPr>
        <w:tc>
          <w:tcPr>
            <w:tcW w:w="472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756DC6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</w:tr>
      <w:tr w:rsidR="004333BB" w:rsidRPr="00756DC6">
        <w:trPr>
          <w:trHeight w:val="262"/>
        </w:trPr>
        <w:tc>
          <w:tcPr>
            <w:tcW w:w="472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756DC6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4333BB" w:rsidRPr="00756DC6">
        <w:trPr>
          <w:trHeight w:val="262"/>
        </w:trPr>
        <w:tc>
          <w:tcPr>
            <w:tcW w:w="472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rPr>
          <w:trHeight w:val="262"/>
        </w:trPr>
        <w:tc>
          <w:tcPr>
            <w:tcW w:w="472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4333BB" w:rsidRPr="00756DC6">
        <w:trPr>
          <w:trHeight w:val="262"/>
        </w:trPr>
        <w:tc>
          <w:tcPr>
            <w:tcW w:w="472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2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333BB" w:rsidRPr="00756DC6">
        <w:trPr>
          <w:trHeight w:val="262"/>
        </w:trPr>
        <w:tc>
          <w:tcPr>
            <w:tcW w:w="4723" w:type="dxa"/>
            <w:gridSpan w:val="3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4333BB" w:rsidRPr="00756DC6">
        <w:trPr>
          <w:trHeight w:val="417"/>
        </w:trPr>
        <w:tc>
          <w:tcPr>
            <w:tcW w:w="4723" w:type="dxa"/>
            <w:gridSpan w:val="3"/>
            <w:shd w:val="clear" w:color="auto" w:fill="C0C0C0"/>
          </w:tcPr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>2 ECTS</w:t>
            </w:r>
          </w:p>
        </w:tc>
      </w:tr>
      <w:tr w:rsidR="004333BB" w:rsidRPr="00756DC6">
        <w:trPr>
          <w:trHeight w:val="262"/>
        </w:trPr>
        <w:tc>
          <w:tcPr>
            <w:tcW w:w="4723" w:type="dxa"/>
            <w:gridSpan w:val="3"/>
            <w:shd w:val="clear" w:color="auto" w:fill="C0C0C0"/>
          </w:tcPr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756DC6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4333BB" w:rsidRPr="00756DC6" w:rsidRDefault="004333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2"/>
            <w:shd w:val="clear" w:color="auto" w:fill="C0C0C0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(30+8+10=48)</w:t>
            </w:r>
          </w:p>
          <w:p w:rsidR="004333BB" w:rsidRPr="00756DC6" w:rsidRDefault="004333B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1,9</w:t>
            </w:r>
            <w:r w:rsidRPr="00756DC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4333BB" w:rsidRPr="00756DC6">
        <w:trPr>
          <w:trHeight w:val="262"/>
        </w:trPr>
        <w:tc>
          <w:tcPr>
            <w:tcW w:w="4723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4333BB" w:rsidRPr="00756DC6" w:rsidRDefault="004333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56DC6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1,3</w:t>
            </w:r>
            <w:r w:rsidRPr="00756DC6">
              <w:rPr>
                <w:rFonts w:ascii="Cambria" w:hAnsi="Cambria" w:cs="Cambria"/>
                <w:sz w:val="24"/>
                <w:szCs w:val="24"/>
              </w:rPr>
              <w:t xml:space="preserve"> ECTS</w:t>
            </w:r>
          </w:p>
          <w:p w:rsidR="004333BB" w:rsidRPr="00756DC6" w:rsidRDefault="004333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p w:rsidR="004333BB" w:rsidRPr="00756DC6" w:rsidRDefault="004333BB">
      <w:pPr>
        <w:rPr>
          <w:rFonts w:ascii="Cambria" w:hAnsi="Cambria" w:cs="Cambria"/>
          <w:sz w:val="24"/>
          <w:szCs w:val="24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p w:rsidR="004333BB" w:rsidRPr="00756DC6" w:rsidRDefault="004333BB">
      <w:pPr>
        <w:pStyle w:val="Default"/>
        <w:rPr>
          <w:rFonts w:ascii="Cambria" w:hAnsi="Cambria" w:cs="Cambria"/>
        </w:rPr>
      </w:pPr>
    </w:p>
    <w:sectPr w:rsidR="004333BB" w:rsidRPr="00756DC6" w:rsidSect="00ED145D">
      <w:footerReference w:type="even" r:id="rId7"/>
      <w:footerReference w:type="default" r:id="rId8"/>
      <w:pgSz w:w="11906" w:h="16838"/>
      <w:pgMar w:top="719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3BB" w:rsidRDefault="004333BB">
      <w:r>
        <w:separator/>
      </w:r>
    </w:p>
  </w:endnote>
  <w:endnote w:type="continuationSeparator" w:id="0">
    <w:p w:rsidR="004333BB" w:rsidRDefault="0043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BB" w:rsidRDefault="004333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33BB" w:rsidRDefault="004333B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BB" w:rsidRDefault="004333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333BB" w:rsidRDefault="004333B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3BB" w:rsidRDefault="004333BB">
      <w:r>
        <w:separator/>
      </w:r>
    </w:p>
  </w:footnote>
  <w:footnote w:type="continuationSeparator" w:id="0">
    <w:p w:rsidR="004333BB" w:rsidRDefault="004333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491453DD"/>
    <w:multiLevelType w:val="hybridMultilevel"/>
    <w:tmpl w:val="752807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5"/>
  </w:num>
  <w:num w:numId="16">
    <w:abstractNumId w:val="6"/>
  </w:num>
  <w:num w:numId="17">
    <w:abstractNumId w:val="18"/>
  </w:num>
  <w:num w:numId="18">
    <w:abstractNumId w:val="1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11B17"/>
    <w:rsid w:val="0009065D"/>
    <w:rsid w:val="00117DE4"/>
    <w:rsid w:val="001242B7"/>
    <w:rsid w:val="0016655E"/>
    <w:rsid w:val="001A385D"/>
    <w:rsid w:val="001C612A"/>
    <w:rsid w:val="001F010F"/>
    <w:rsid w:val="00295838"/>
    <w:rsid w:val="002C5D43"/>
    <w:rsid w:val="002C7814"/>
    <w:rsid w:val="002E716A"/>
    <w:rsid w:val="00343C53"/>
    <w:rsid w:val="003849E4"/>
    <w:rsid w:val="003B3FC7"/>
    <w:rsid w:val="003D4309"/>
    <w:rsid w:val="004333BB"/>
    <w:rsid w:val="004440DD"/>
    <w:rsid w:val="0049796F"/>
    <w:rsid w:val="004A20F8"/>
    <w:rsid w:val="004D6942"/>
    <w:rsid w:val="00506F54"/>
    <w:rsid w:val="00554CF7"/>
    <w:rsid w:val="00561E05"/>
    <w:rsid w:val="006A7644"/>
    <w:rsid w:val="00756DC6"/>
    <w:rsid w:val="007D09E6"/>
    <w:rsid w:val="007F0A2C"/>
    <w:rsid w:val="008266B5"/>
    <w:rsid w:val="008827BE"/>
    <w:rsid w:val="00891FD6"/>
    <w:rsid w:val="009C3A00"/>
    <w:rsid w:val="009E17A2"/>
    <w:rsid w:val="009F254B"/>
    <w:rsid w:val="009F503D"/>
    <w:rsid w:val="00AA6A97"/>
    <w:rsid w:val="00AB09C2"/>
    <w:rsid w:val="00AE5CCF"/>
    <w:rsid w:val="00B03E34"/>
    <w:rsid w:val="00B46E0F"/>
    <w:rsid w:val="00BB7AF6"/>
    <w:rsid w:val="00BC35A1"/>
    <w:rsid w:val="00BF0F94"/>
    <w:rsid w:val="00C132AC"/>
    <w:rsid w:val="00C2080D"/>
    <w:rsid w:val="00C55454"/>
    <w:rsid w:val="00C57433"/>
    <w:rsid w:val="00C66EAD"/>
    <w:rsid w:val="00CA6551"/>
    <w:rsid w:val="00D03E0E"/>
    <w:rsid w:val="00D60434"/>
    <w:rsid w:val="00DD062C"/>
    <w:rsid w:val="00DD2CEB"/>
    <w:rsid w:val="00DF14C0"/>
    <w:rsid w:val="00E34A03"/>
    <w:rsid w:val="00E50308"/>
    <w:rsid w:val="00E56601"/>
    <w:rsid w:val="00E96C4C"/>
    <w:rsid w:val="00ED09C7"/>
    <w:rsid w:val="00ED145D"/>
    <w:rsid w:val="00ED3C91"/>
    <w:rsid w:val="00EF0FB2"/>
    <w:rsid w:val="00F10C25"/>
    <w:rsid w:val="00F160ED"/>
    <w:rsid w:val="00F37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HTML Preformatted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AF6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B7AF6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7AF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B7AF6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B7AF6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7AF6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B7AF6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2BC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2BC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2BC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2BC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2BC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2BC8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BB7AF6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B7AF6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22BC8"/>
    <w:rPr>
      <w:sz w:val="20"/>
      <w:szCs w:val="20"/>
    </w:rPr>
  </w:style>
  <w:style w:type="paragraph" w:styleId="NormalWeb">
    <w:name w:val="Normal (Web)"/>
    <w:basedOn w:val="Normal"/>
    <w:uiPriority w:val="99"/>
    <w:rsid w:val="00BB7AF6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B7AF6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22BC8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BB7AF6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22BC8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BB7AF6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522BC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BB7AF6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B7A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2BC8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BB7AF6"/>
  </w:style>
  <w:style w:type="paragraph" w:styleId="Footer">
    <w:name w:val="footer"/>
    <w:basedOn w:val="Normal"/>
    <w:link w:val="FooterChar"/>
    <w:uiPriority w:val="99"/>
    <w:rsid w:val="00BB7A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2BC8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BB7AF6"/>
  </w:style>
  <w:style w:type="paragraph" w:styleId="Subtitle">
    <w:name w:val="Subtitle"/>
    <w:basedOn w:val="Normal"/>
    <w:link w:val="SubtitleChar"/>
    <w:uiPriority w:val="99"/>
    <w:qFormat/>
    <w:rsid w:val="00BB7AF6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522BC8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BB7AF6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BB7AF6"/>
  </w:style>
  <w:style w:type="paragraph" w:styleId="HTMLPreformatted">
    <w:name w:val="HTML Preformatted"/>
    <w:basedOn w:val="Normal"/>
    <w:link w:val="HTMLPreformattedChar"/>
    <w:uiPriority w:val="99"/>
    <w:semiHidden/>
    <w:rsid w:val="00B03E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03E34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rsid w:val="00ED14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BC8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0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900</Words>
  <Characters>5405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2012-09-19T16:46:00Z</cp:lastPrinted>
  <dcterms:created xsi:type="dcterms:W3CDTF">2012-09-19T16:46:00Z</dcterms:created>
  <dcterms:modified xsi:type="dcterms:W3CDTF">2012-09-19T16:46:00Z</dcterms:modified>
</cp:coreProperties>
</file>